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85F63">
      <w:pPr>
        <w:pStyle w:val="15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附件1</w:t>
      </w:r>
    </w:p>
    <w:p w14:paraId="71C52EE8">
      <w:pPr>
        <w:pStyle w:val="12"/>
        <w:bidi w:val="0"/>
        <w:rPr>
          <w:rFonts w:hint="eastAsia"/>
        </w:rPr>
      </w:pPr>
      <w:r>
        <w:rPr>
          <w:rFonts w:hint="eastAsia"/>
        </w:rPr>
        <w:t>产业政策要求</w:t>
      </w:r>
    </w:p>
    <w:p w14:paraId="1A2EDD08">
      <w:pPr>
        <w:pStyle w:val="15"/>
        <w:bidi w:val="0"/>
        <w:rPr>
          <w:rFonts w:hint="eastAsia"/>
        </w:rPr>
      </w:pPr>
      <w:r>
        <w:rPr>
          <w:rFonts w:hint="eastAsia"/>
        </w:rPr>
        <w:t>一、整体要求</w:t>
      </w:r>
    </w:p>
    <w:p w14:paraId="75BDE7B1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项目应采用先进工艺、技术和装备，有利于推进先进产能比重持续提升，符合产业政策导向。</w:t>
      </w:r>
    </w:p>
    <w:p w14:paraId="1094A08B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项目实施后不属于《产业结构调整指导目录(2024年本)》中限制类、淘汰类项目，避免低水平重复建设。</w:t>
      </w:r>
    </w:p>
    <w:p w14:paraId="0CD56747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鼓励企业在项目实施中开展工业控制系统、工业软件等更新升级，购买人工智能设备和软件服务，促进“人工智能+制造业”发展。</w:t>
      </w:r>
    </w:p>
    <w:p w14:paraId="63F615ED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鼓励已获得超长期特别国债资金支持、且符合申报条件的项目积极申报，加强政策协同。</w:t>
      </w:r>
    </w:p>
    <w:p w14:paraId="6C723824">
      <w:pPr>
        <w:pStyle w:val="15"/>
        <w:bidi w:val="0"/>
        <w:rPr>
          <w:rFonts w:hint="eastAsia"/>
        </w:rPr>
      </w:pPr>
      <w:r>
        <w:rPr>
          <w:rFonts w:hint="eastAsia"/>
        </w:rPr>
        <w:t>二、重点行业要求</w:t>
      </w:r>
    </w:p>
    <w:p w14:paraId="54CCE8F4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炼油、乙烯、对二甲苯(PX)、异氰酸酯(MDI)、煤制甲醇、氧化铝、铜冶炼等资源加工类项目须列入国家规划和通过省级核准，并提供核准批复文件。</w:t>
      </w:r>
    </w:p>
    <w:p w14:paraId="713D5DAF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新能源汽车、光伏行业新增产能项目须符合相关产业政策要求和项目管理要求，并提供合规备案材料。</w:t>
      </w:r>
    </w:p>
    <w:p w14:paraId="12E2857D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钢铁、电解铝、水泥、平板玻璃、船舶等行业新增产能项目须完成产</w:t>
      </w:r>
      <w:bookmarkStart w:id="0" w:name="_GoBack"/>
      <w:bookmarkEnd w:id="0"/>
      <w:r>
        <w:rPr>
          <w:rFonts w:hint="eastAsia"/>
        </w:rPr>
        <w:t>能置换，确保实际产能与备案产能统一，并提供省级工业和信息化等部门产能置换公告方案等文件。</w:t>
      </w:r>
    </w:p>
    <w:p w14:paraId="57B9FD9F">
      <w:pPr>
        <w:pStyle w:val="13"/>
        <w:bidi w:val="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鼓励列入石化化工行业老旧装置更新改造工作台账的项目积极申报，并提供有关证明材料。</w:t>
      </w:r>
    </w:p>
    <w:p w14:paraId="3A05E0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E1F6F"/>
    <w:rsid w:val="00FE3F06"/>
    <w:rsid w:val="0BD1364D"/>
    <w:rsid w:val="22507315"/>
    <w:rsid w:val="30C23E8A"/>
    <w:rsid w:val="319F5F79"/>
    <w:rsid w:val="33E6319C"/>
    <w:rsid w:val="36CE0F9D"/>
    <w:rsid w:val="3D780ACF"/>
    <w:rsid w:val="3E7A5DA4"/>
    <w:rsid w:val="41297BA8"/>
    <w:rsid w:val="4BF21A5B"/>
    <w:rsid w:val="5C4F558A"/>
    <w:rsid w:val="60F56B09"/>
    <w:rsid w:val="646734C9"/>
    <w:rsid w:val="65167D25"/>
    <w:rsid w:val="6806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sz w:val="30"/>
    </w:rPr>
  </w:style>
  <w:style w:type="paragraph" w:styleId="4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公文标题"/>
    <w:basedOn w:val="1"/>
    <w:qFormat/>
    <w:uiPriority w:val="0"/>
    <w:pPr>
      <w:spacing w:line="560" w:lineRule="exact"/>
      <w:jc w:val="center"/>
    </w:pPr>
    <w:rPr>
      <w:rFonts w:ascii="Times New Roman" w:hAnsi="Times New Roman" w:eastAsia="方正小标宋简体"/>
      <w:sz w:val="44"/>
      <w:szCs w:val="22"/>
    </w:rPr>
  </w:style>
  <w:style w:type="paragraph" w:customStyle="1" w:styleId="13">
    <w:name w:val="公文正文1"/>
    <w:basedOn w:val="12"/>
    <w:qFormat/>
    <w:uiPriority w:val="0"/>
    <w:pPr>
      <w:spacing w:line="580" w:lineRule="exact"/>
      <w:ind w:firstLine="880" w:firstLineChars="200"/>
      <w:jc w:val="left"/>
    </w:pPr>
    <w:rPr>
      <w:rFonts w:ascii="Times New Roman" w:hAnsi="Times New Roman" w:eastAsia="仿宋"/>
      <w:sz w:val="32"/>
    </w:rPr>
  </w:style>
  <w:style w:type="paragraph" w:customStyle="1" w:styleId="14">
    <w:name w:val="公文标题2"/>
    <w:basedOn w:val="1"/>
    <w:qFormat/>
    <w:uiPriority w:val="0"/>
    <w:pPr>
      <w:spacing w:line="580" w:lineRule="exact"/>
      <w:ind w:firstLine="880" w:firstLineChars="200"/>
      <w:outlineLvl w:val="1"/>
    </w:pPr>
    <w:rPr>
      <w:rFonts w:ascii="Times New Roman" w:hAnsi="Times New Roman" w:eastAsia="楷体"/>
      <w:sz w:val="32"/>
      <w:szCs w:val="22"/>
    </w:rPr>
  </w:style>
  <w:style w:type="paragraph" w:customStyle="1" w:styleId="15">
    <w:name w:val="公文标题一"/>
    <w:basedOn w:val="1"/>
    <w:qFormat/>
    <w:uiPriority w:val="0"/>
    <w:pPr>
      <w:spacing w:line="580" w:lineRule="exact"/>
      <w:ind w:left="0" w:firstLine="880" w:firstLineChars="200"/>
      <w:jc w:val="left"/>
      <w:outlineLvl w:val="0"/>
    </w:pPr>
    <w:rPr>
      <w:rFonts w:ascii="Times New Roman" w:hAnsi="Times New Roman" w:eastAsia="黑体"/>
      <w:sz w:val="32"/>
      <w:szCs w:val="22"/>
    </w:rPr>
  </w:style>
  <w:style w:type="paragraph" w:customStyle="1" w:styleId="16">
    <w:name w:val="笔记正文无缩进"/>
    <w:basedOn w:val="1"/>
    <w:qFormat/>
    <w:uiPriority w:val="0"/>
    <w:pPr>
      <w:ind w:firstLine="0" w:firstLineChars="0"/>
    </w:pPr>
    <w:rPr>
      <w:rFonts w:ascii="Times New Roman" w:hAnsi="Times New Roman" w:eastAsia="仿宋"/>
      <w:szCs w:val="22"/>
    </w:rPr>
  </w:style>
  <w:style w:type="paragraph" w:customStyle="1" w:styleId="17">
    <w:name w:val="笔记正文"/>
    <w:basedOn w:val="13"/>
    <w:qFormat/>
    <w:uiPriority w:val="0"/>
    <w:pPr>
      <w:spacing w:line="240" w:lineRule="auto"/>
    </w:pPr>
    <w:rPr>
      <w:rFonts w:ascii="Times New Roman" w:hAnsi="Times New Roman" w:eastAsia="仿宋"/>
      <w:sz w:val="21"/>
    </w:rPr>
  </w:style>
  <w:style w:type="character" w:customStyle="1" w:styleId="18">
    <w:name w:val="页脚 字符"/>
    <w:link w:val="4"/>
    <w:qFormat/>
    <w:uiPriority w:val="0"/>
    <w:rPr>
      <w:sz w:val="18"/>
      <w:szCs w:val="18"/>
    </w:rPr>
  </w:style>
  <w:style w:type="character" w:customStyle="1" w:styleId="19">
    <w:name w:val="页眉 字符"/>
    <w:link w:val="5"/>
    <w:qFormat/>
    <w:uiPriority w:val="0"/>
    <w:rPr>
      <w:sz w:val="18"/>
      <w:szCs w:val="18"/>
    </w:rPr>
  </w:style>
  <w:style w:type="paragraph" w:customStyle="1" w:styleId="20">
    <w:name w:val="正文1"/>
    <w:basedOn w:val="1"/>
    <w:qFormat/>
    <w:uiPriority w:val="0"/>
    <w:pPr>
      <w:spacing w:line="400" w:lineRule="exact"/>
      <w:ind w:firstLine="560" w:firstLineChars="200"/>
    </w:pPr>
    <w:rPr>
      <w:rFonts w:hint="eastAsia" w:ascii="仿宋_GB2312" w:hAnsi="仿宋_GB2312" w:eastAsia="仿宋_GB2312" w:cs="仿宋_GB2312"/>
      <w:sz w:val="28"/>
      <w:szCs w:val="28"/>
    </w:rPr>
  </w:style>
  <w:style w:type="paragraph" w:customStyle="1" w:styleId="21">
    <w:name w:val="大标题"/>
    <w:basedOn w:val="1"/>
    <w:qFormat/>
    <w:uiPriority w:val="0"/>
    <w:pPr>
      <w:spacing w:line="500" w:lineRule="exact"/>
      <w:jc w:val="center"/>
    </w:pPr>
    <w:rPr>
      <w:rFonts w:hint="eastAsia" w:ascii="方正小标宋简体" w:hAnsi="方正小标宋简体" w:eastAsia="方正小标宋简体"/>
      <w:sz w:val="44"/>
      <w:szCs w:val="44"/>
    </w:rPr>
  </w:style>
  <w:style w:type="paragraph" w:customStyle="1" w:styleId="22">
    <w:name w:val="主要内容标题"/>
    <w:basedOn w:val="1"/>
    <w:qFormat/>
    <w:uiPriority w:val="0"/>
    <w:pPr>
      <w:spacing w:line="400" w:lineRule="exact"/>
      <w:ind w:firstLine="480" w:firstLineChars="200"/>
      <w:jc w:val="left"/>
    </w:pPr>
    <w:rPr>
      <w:rFonts w:hint="eastAsia" w:ascii="黑体" w:hAnsi="黑体" w:eastAsia="黑体" w:cs="Arial Unicode MS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2025-10-16T00:33:00Z</dcterms:created>
  <dc:creator>18467</dc:creator>
  <cp:lastModifiedBy>叶xh</cp:lastModifiedBy>
  <dcterms:modified xsi:type="dcterms:W3CDTF">2026-08-03T06:30:22Z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8930F53CA5804ED183010938DB582CDB_12</vt:lpwstr>
  </property>
  <property fmtid="{D5CDD505-2E9C-101B-9397-08002B2CF9AE}" pid="4" name="KSOTemplateDocerSaveRecord">
    <vt:lpwstr>eyJoZGlkIjoiYzVlYjNhMWI0YWI5MzBjYzlmZmUxNjlmOTE5NDMwMWQiLCJ1c2VySWQiOiI0MjEyOTc4MDYifQ==</vt:lpwstr>
  </property>
</Properties>
</file>