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kinsoku w:val="0"/>
        <w:wordWrap/>
        <w:overflowPunct/>
        <w:topLinePunct/>
        <w:autoSpaceDE w:val="0"/>
        <w:autoSpaceDN w:val="0"/>
        <w:bidi w:val="0"/>
        <w:adjustRightInd w:val="0"/>
        <w:snapToGrid w:val="0"/>
        <w:spacing w:line="288" w:lineRule="auto"/>
        <w:ind w:firstLine="643" w:firstLineChars="200"/>
        <w:jc w:val="center"/>
        <w:textAlignment w:val="baseline"/>
        <w:rPr>
          <w:rFonts w:hint="eastAsia" w:ascii="黑体" w:hAnsi="黑体" w:eastAsia="黑体" w:cs="黑体"/>
          <w:sz w:val="32"/>
          <w:szCs w:val="32"/>
        </w:rPr>
      </w:pPr>
      <w:r>
        <w:rPr>
          <w:rFonts w:hint="eastAsia" w:ascii="黑体" w:hAnsi="黑体" w:eastAsia="黑体" w:cs="黑体"/>
          <w:sz w:val="32"/>
          <w:szCs w:val="32"/>
        </w:rPr>
        <w:t>浙江省建设工程专业工程师职务任职资格评价条件</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第一章总则</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为进一步规范建设工程专业技术职务任职资格评价工作，落实深化职称制度改革要求，根据省委办公厅、省政府办公厅《关于深化职称制度改革的实施意见》（浙委办发〔2018〕4号）等规定，结合本省建设工程专业实际，制定本评价条件。</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本评价条件适用于我省从事建设工程规划与设计、施工与监理、技术管理的企事业单位在职专业技术人员申报工程师、高级工程师职务任职资格的评价。</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按照本评价条件评审通过，并获得建设工程专业工程师、高级工程师职务任职资格证书，表明持证人具有相应的专业技术水平和能力，作为聘任建设工程专业工程师、高级工程师职务的重要依据。</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第二章申报基本条件</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申报人应当遵守《中华人民共和国宪法》和法律法规，具有良好的职业道德和敬业精神，热爱本职工作，履行岗位职责，努力完成工作任务，积极为我省建设事业发展服务。</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申报评审工程师职务任职资格的，近3年的年度考核应为合格以上；申报评审高级工程师职务任职资格的，近4年的年度考核应为合格以上。</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申报评审工程师、高级工程师职务任职资格的，应按规定完成相应的继续教育学习。</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申报工程师职务任职资格的人员必须具备下列条件之一：</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（一）具有本专业或相近专业大学专科以上学历，取得助理工程师职务任职资格后，实际聘任助理工程师职务4年以上。</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（二）不具备前项规定的学历和资历，但按本评价条件量化评分标准，其自评分达到规定分值，且由2名本专业或相近专业高级工程师推荐。</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学历（学位）取得前后从事建设工程专业或相近专业工作年限可以累计。</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申报人员所学专业与申报的专业不一致或不相近的，应视为不具备规定学历。取得不同专业学历（学位），但其中一个专业学历（学位）为建设工程专业或相近专业的，其学历（学位）可按取得的最高学历（学位）认定。</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第三章工程师职务任职资格评审条件</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从事建设工程规划与设计工作的专业技术人员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w:t>
      </w:r>
    </w:p>
    <w:p>
      <w:pPr>
        <w:keepNext w:val="0"/>
        <w:keepLines w:val="0"/>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较系统地掌握本专业领域的基础理论知识和专业技术知识，能较熟练地运用本专业技术标准、规范和规程，了解本专业新技术、新工艺、新设备、新材料的现状和发展趋势。</w:t>
      </w:r>
    </w:p>
    <w:p>
      <w:pPr>
        <w:keepNext w:val="0"/>
        <w:keepLines w:val="0"/>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任现职期间，具备下列5项条件中的2项：</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1．有从事建设工程规划与设计工作的经历和能力。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2．有较丰富的建设工程技术管理的经历和能力，能解决中等复杂工程技术问题。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3．具有作为技术骨干参与建设科研项目研究或新技术推广应用的经历和能力，其相关成果取得实效。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4．相关二级以上执业资格证书获得者。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5．取得全国专业技术人员计算机应用能力考核3个科目（模块）合格证书；或职称外语等级考试合格证书、大学英语4级以上考试合格证书。</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（三）论文与著作</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在省、部级公开发行的专业期刊上，省、部级以上专业性学术会议上（编入正式出版的论文集），或在符合相关规定的专业期刊上发表过论文，或出版过有一定学术水平的专著或译著。</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（四）专业技术工作业绩</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1．作为技术骨干参与中等复杂工程项目或3项一般工程项目的规划与设计工作，未发生质量和安全方面的责任事故。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2．作为技术骨干参与县（市、区）级以上科研项目研究工作，其相关成果应通过评审并取得实效。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3．县（市、区）级三等以上科技进步奖获得者；设区市规划、工程勘测、设计与咨询成果奖获得者。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4．建设工程技术方面发明专利或建设工程技术方面实用新型专利的主要发明人，其相关成果应取得实际经济效益。</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5．参与工程建设国家标准、行业标准、地方标准、团体标准，国家标准设计图集、省标准设计图集，国家级工法、省级工法，全国统一定额、地方定额或导则的编写，其相关成果应颁布实施。</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6．作为技术骨干参与科技示范项目的推广应用，其相关成果应通过评审并取得实效。</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第十三条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从事建设工程施工与监理工作的专业技术人员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较系统地掌握本专业领域的基础理论知识和专业技术知识，能较熟练地运用本专业技术标准、规范和规程，了解本专业新技术、新工艺、新设备、新材料的现状和发展趋势。</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任现职期间，具备下列5项条件中的2项：</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1．有从事建设工程施工与监理工作的经历和能力。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2．具有较丰富的建设工程技术管理的经历和能力，能解决中等复杂工程技术问题。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3．具有作为技术骨干参与建设科研项目研究或10项新技术推广应用的经历和能力，其相关成果应取得实效。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4．相关二级以上执业资格证书获得者。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5．取得全国专业技术人员计算机应用能力考核3个科目（模块）合格证书；或职称外语等级考试合格证书、大学英语4级以上考试合格证书。</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（三）论文与著作</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在省、部级公开发行的专业期刊上，省、部级以上专业性学术会议上（编入正式出版的论文集），或在符合相关规定的专业期刊上发表过论文，或出版过有一定学术水平的专著或译著。</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（四）专业技术工作业绩</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1．作为技术骨干参与中等复杂工程项目；或县（市、区）级重点工程项目；或3项一般工程项目的施工与监理工作，未发生质量和安全方面的责任事故。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2．作为技术骨干参与县（市、区）级以上科研项目研究工作，其相关成果通过评审并取得实效。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3．县（市、区）级三等以上科技进步奖获得者；设区市级以上优质工程奖；省QC成果一等奖获得者。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4．建设工程技术方面发明专利或建设工程技术方面实用新型专利的主要发明人，其相关成果取得实际经济效益。</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5．参与工程建设国家标准、行业标准、地方标准、团体标准，国家标准设计图集、省标准设计图集，国家级工法、省级工法，全国统一定额、地方定额或导则的编写，其相关成果已颁布实施。</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6．作为技术骨干参与省、部10项新技术推广应用示范项目或科技示范项目的推广应用，其相关成果通过评审并取得实效。</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从事建设工程技术管理的专业技术人员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较系统地掌握本专业领域的基础理论知识和专业技术知识，能较熟练地运用本专业技术标准、规范和规程，了解本专业新技术、新工艺、新设备、新材料的现状和发展趋势。</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任现职期间，具备下列5项条件中的2项：</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1．有从事建设工程技术管理工作的经历和能力。</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2．具有较丰富的建设工程技术管理的经历和能力，能解决中等复杂工程技术问题。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3．具有作为技术骨干参与建设科研项目研究或新技术推广应用的经历和能力，其相关成果取得实效。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4．相关二级以上执业资格证书获得者。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5．取得全国专业技术人员计算机应用能力考核3个科目（模块）合格证书；或职称外语等级考试合格证书、大学英语4级以上考试合格证书。</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（三）论文与著作</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在省、部级公开发行的专业期刊上，省、部级以上专业性学术会议上（编入正式出版的论文集），或在符合相关规定的专业期刊上发表过论文，或出版过有一定学术水平的专著或译著。</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（四）专业技术工作业绩</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1．在建设工程技术管理工作中，管理业绩优秀、效益明显。</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2．作为技术骨干参与县（市、区）级以上科研项目研究工作，其相关成果通过评审并取得实效。</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3．县（市、区）级三等以上科技进步奖获得者；设区市级以上综合性专业奖获得者。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4．建设工程技术方面发明专利或建设工程技术方面实用新型专利的主要发明人，其相关成果取得实际经济效益。</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5．参与工程建设国家标准、行业标准、地方标准、团体标准，国家标准设计图集、省标准设计图集，国家级工法、省级工法，全国统一定额、地方定额或导则的编写，其相关成果已颁布实施。</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6．作为技术骨干参与科技示范项目的推广应用，其相关成果通过评审并取得实效。</w:t>
      </w:r>
    </w:p>
    <w:p>
      <w:pPr>
        <w:pageBreakBefore w:val="0"/>
        <w:widowControl/>
        <w:kinsoku w:val="0"/>
        <w:wordWrap/>
        <w:overflowPunct/>
        <w:topLinePunct/>
        <w:autoSpaceDE w:val="0"/>
        <w:autoSpaceDN w:val="0"/>
        <w:bidi w:val="0"/>
        <w:adjustRightInd w:val="0"/>
        <w:snapToGrid w:val="0"/>
        <w:spacing w:line="288" w:lineRule="auto"/>
        <w:ind w:firstLine="562" w:firstLineChars="200"/>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第五章附则</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第十八条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工作业绩、科研成果、论文、著作等均应为任现职后取得的，并应提供相应的佐证材料。</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本评价条件中有关词（语）或概念的特定解释</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本专业或相近专业包括：城乡规划、建筑学、风景园林学、岩土工程（工程测量、工程勘察）、测绘工程、地理信息系统、结构工程（钢结构）、土木工程、工民建、给排水工程、供热通风与空调工程、装修装饰工程、建筑幕墙、市政道路（桥梁）工程、城市燃气工程、建筑电气（建筑智能化）、园林绿化（景观设计）、建筑材料、工程管理、工程监理、建筑经济、工程造价、建筑机械和白蚁防治等。</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（二）规划与设计类专业技术人员是指：从事建设工程规划、设计、咨询、勘察、测绘、施工图审查等工作的专业技术人员。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施工与监理类专业技术人员是指：从事房屋建筑工程施工与管理、市政基础设施工程施工与管理、园林绿化工程施工与管理、工程监理、项目管理、工程检测、质量安全监督、混凝土及建筑构件部品生产、建筑机械、工程造价等工作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（四）技术管理类专业技术人员是指：从事科技管理、标准管理、政策管理、造价管理、运行管理、建设单位项目管理、白蚁防治和招标代理等工作的专业技术人员。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（五）主要贡献者是指：建设工程科学研究、规划与设计、施工与监理、技术管理的主要管理者或技术决策并实施者。</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（六）获奖者是指：国家有关机构规定的获奖项目、课题各等级内额定获奖人员（有个人获奖证书）。</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（七）主要获奖者是指：获奖者中排名靠前的，具体排名应对应不同的奖项级别通过评分表确认。</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（八）主持和主持者是指：规划与设计是指项目负责人和各专业负责人；施工是指项目经理和技术负责人；监理是指建设项目总监、代建项目的项目经理、项目管理的项目经理；技术管理是指建设项目负责人。</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（九）技术骨干是指：承担项目具体实施工作，独立处理各种常见技术问题的专业人员。</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（十）省、部级以上期刊是指：省、部级以上专业学会（协会）或省部以上业务部门主办的公开发行的有正式刊号的刊物；大专或高职以上学校主办的学报视同省、部级以上刊物。</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（十一）专著或译著的字数是指：申报人员在专著或译著撰写或翻译的字数。</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（十二）佐证材料是指：能提供本人在所完成的业绩成果中地位、作用的书面证明材料。</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（十三）重点工程和重点项目是指：有关政府部门有明文认定的重点工程或重点项目。</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（十四）项目难易程度（复杂、中等、一般）的划分，由职称评审委员会根据国家有关规定，结合地区差异等实际情况掌握。</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（十五）“以上”均含本数或者本级。</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（十六）“年”均为周年。</w:t>
      </w:r>
    </w:p>
    <w:p>
      <w:pPr>
        <w:pageBreakBefore w:val="0"/>
        <w:widowControl/>
        <w:kinsoku w:val="0"/>
        <w:wordWrap/>
        <w:overflowPunct/>
        <w:topLinePunct/>
        <w:autoSpaceDE w:val="0"/>
        <w:autoSpaceDN w:val="0"/>
        <w:bidi w:val="0"/>
        <w:adjustRightInd w:val="0"/>
        <w:snapToGrid w:val="0"/>
        <w:spacing w:line="288" w:lineRule="auto"/>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第二十一条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申报建设工程专业工程师和高级工程师职务任职资格评审人员有下列情形之一的，取消其评审资格或取消其已经取得的任职资格，收回资格证书，并从次年起3年内不得申报。</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（一）伪造、变造证件、证明等申报材料的；</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（二）有违纪违法行为，仍在处理、处分、处罚阶段或任现职期间有严重违纪违法行为，在申报材料上未有反映的；</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（三）有其他严重违反评审规定行为的。</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第二十二条本评价条件自印发之日起施行，原《浙江省建设工程专业工程师和高级工程师资格评价条件》（浙人社发〔2011〕275号）同时废止。</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附件：浙江省建设工程专业工程师职务任职资格审议评分表</w:t>
      </w: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ind w:firstLine="560" w:firstLineChars="200"/>
        <w:textAlignment w:val="baseline"/>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Style w:val="2"/>
        <w:rPr>
          <w:rFonts w:hint="eastAsia" w:ascii="仿宋" w:hAnsi="仿宋" w:eastAsia="仿宋" w:cs="仿宋"/>
          <w:sz w:val="28"/>
          <w:szCs w:val="28"/>
        </w:rPr>
      </w:pPr>
    </w:p>
    <w:p>
      <w:pPr>
        <w:pageBreakBefore w:val="0"/>
        <w:widowControl/>
        <w:kinsoku w:val="0"/>
        <w:wordWrap/>
        <w:overflowPunct/>
        <w:topLinePunct/>
        <w:autoSpaceDE w:val="0"/>
        <w:autoSpaceDN w:val="0"/>
        <w:bidi w:val="0"/>
        <w:adjustRightInd w:val="0"/>
        <w:snapToGrid w:val="0"/>
        <w:spacing w:line="288" w:lineRule="auto"/>
        <w:textAlignment w:val="baseline"/>
        <w:rPr>
          <w:rFonts w:hint="eastAsia" w:ascii="仿宋" w:hAnsi="仿宋" w:eastAsia="仿宋" w:cs="仿宋"/>
          <w:sz w:val="28"/>
          <w:szCs w:val="28"/>
        </w:rPr>
      </w:pPr>
      <w:bookmarkStart w:id="0" w:name="_GoBack"/>
      <w:bookmarkEnd w:id="0"/>
    </w:p>
    <w:sectPr>
      <w:footerReference r:id="rId5" w:type="default"/>
      <w:type w:val="continuous"/>
      <w:pgSz w:w="11900" w:h="16840"/>
      <w:pgMar w:top="1431" w:right="1474" w:bottom="1571" w:left="1470" w:header="0" w:footer="1170" w:gutter="0"/>
      <w:cols w:equalWidth="0" w:num="1">
        <w:col w:w="895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75" w:lineRule="auto"/>
      <w:ind w:left="7680"/>
      <w:rPr>
        <w:rFonts w:ascii="Times New Roman" w:hAnsi="Times New Roman" w:eastAsia="Times New Roman" w:cs="Times New Roman"/>
        <w:sz w:val="41"/>
        <w:szCs w:val="41"/>
      </w:rPr>
    </w:pPr>
    <w:r>
      <w:rPr>
        <w:spacing w:val="-35"/>
        <w:w w:val="96"/>
        <w:sz w:val="41"/>
        <w:szCs w:val="41"/>
      </w:rPr>
      <w:t>—</w:t>
    </w:r>
    <w:r>
      <w:rPr>
        <w:rFonts w:ascii="Times New Roman" w:hAnsi="Times New Roman" w:eastAsia="Times New Roman" w:cs="Times New Roman"/>
        <w:spacing w:val="-35"/>
        <w:w w:val="96"/>
        <w:sz w:val="41"/>
        <w:szCs w:val="41"/>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compressPunctuation"/>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A2F38D7"/>
    <w:rsid w:val="65AB4A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semiHidden/>
    <w:qFormat/>
    <w:uiPriority w:val="0"/>
    <w:rPr>
      <w:rFonts w:ascii="宋体" w:hAnsi="宋体" w:eastAsia="宋体" w:cs="宋体"/>
      <w:sz w:val="44"/>
      <w:szCs w:val="44"/>
      <w:lang w:val="en-US" w:eastAsia="en-US" w:bidi="ar-SA"/>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2025-08-05T09:19:00Z</dcterms:created>
  <dc:creator>Administrator</dc:creator>
  <cp:lastModifiedBy>kingfop</cp:lastModifiedBy>
  <dcterms:modified xsi:type="dcterms:W3CDTF">2025-08-11T01:33:24Z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2025-08-05T09:19:53Z</vt:filetime>
  </property>
  <property fmtid="{D5CDD505-2E9C-101B-9397-08002B2CF9AE}" pid="4" name="UsrData">
    <vt:lpwstr>68915c34321cfb001ff3857ewl</vt:lpwstr>
  </property>
  <property fmtid="{D5CDD505-2E9C-101B-9397-08002B2CF9AE}" pid="5" name="KSOProductBuildVer">
    <vt:lpwstr>2052-11.8.2.10154</vt:lpwstr>
  </property>
</Properties>
</file>