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ABD12">
      <w:pPr>
        <w:widowControl/>
        <w:spacing w:line="240" w:lineRule="auto"/>
        <w:ind w:firstLine="0" w:firstLineChars="0"/>
        <w:jc w:val="left"/>
        <w:rPr>
          <w:rFonts w:hint="eastAsia" w:ascii="Times New Roman" w:hAnsi="Times New Roman" w:eastAsia="黑体" w:cs="Times New Roman"/>
          <w:color w:val="auto"/>
          <w:kern w:val="0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>附件</w:t>
      </w:r>
      <w:r>
        <w:rPr>
          <w:rFonts w:hint="eastAsia" w:eastAsia="黑体" w:cs="Times New Roman"/>
          <w:color w:val="auto"/>
          <w:kern w:val="0"/>
          <w:szCs w:val="32"/>
          <w:highlight w:val="none"/>
          <w:lang w:val="en-US" w:eastAsia="zh-CN"/>
        </w:rPr>
        <w:t>2</w:t>
      </w:r>
    </w:p>
    <w:p w14:paraId="3819D2FC"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Cs w:val="32"/>
          <w:highlight w:val="none"/>
        </w:rPr>
        <w:t xml:space="preserve"> </w:t>
      </w:r>
    </w:p>
    <w:p w14:paraId="092BB633">
      <w:pPr>
        <w:spacing w:before="437" w:beforeLines="100" w:line="660" w:lineRule="exact"/>
        <w:ind w:firstLine="0" w:firstLineChars="0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Cs w:val="32"/>
          <w:highlight w:val="none"/>
        </w:rPr>
      </w:pPr>
      <w:r>
        <w:rPr>
          <w:rFonts w:hint="eastAsia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年浙江省未来工厂申报书</w:t>
      </w:r>
    </w:p>
    <w:p w14:paraId="4738B238">
      <w:pPr>
        <w:spacing w:line="600" w:lineRule="exact"/>
        <w:ind w:firstLine="0" w:firstLineChars="0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 xml:space="preserve"> </w:t>
      </w:r>
    </w:p>
    <w:p w14:paraId="141B7B75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2AC72BE8">
      <w:pPr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 xml:space="preserve"> </w:t>
      </w:r>
    </w:p>
    <w:p w14:paraId="64135C2E">
      <w:pPr>
        <w:spacing w:line="600" w:lineRule="exact"/>
        <w:ind w:firstLine="960" w:firstLineChars="300"/>
        <w:jc w:val="left"/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申报单位（盖章）：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</w:t>
      </w:r>
    </w:p>
    <w:p w14:paraId="125261C1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企业简称+主要产品+未来工厂 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  <w:t xml:space="preserve">    </w:t>
      </w:r>
      <w:r>
        <w:rPr>
          <w:rFonts w:ascii="Times New Roman" w:hAnsi="Times New Roman" w:eastAsia="黑体" w:cs="Times New Roman"/>
          <w:color w:val="auto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  <w:t xml:space="preserve"> </w:t>
      </w:r>
    </w:p>
    <w:p w14:paraId="0BF096FC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建设地址：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28E2F671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项目责任人：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</w:t>
      </w:r>
    </w:p>
    <w:p w14:paraId="4B608C6F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申报人及联系电话：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</w:t>
      </w:r>
    </w:p>
    <w:p w14:paraId="35045D3A">
      <w:pPr>
        <w:spacing w:line="600" w:lineRule="exact"/>
        <w:ind w:firstLine="960" w:firstLineChars="300"/>
        <w:jc w:val="left"/>
        <w:rPr>
          <w:rFonts w:hint="default" w:ascii="Times New Roman" w:hAnsi="Times New Roman" w:eastAsia="黑体" w:cs="Times New Roman"/>
          <w:color w:val="auto"/>
          <w:szCs w:val="32"/>
          <w:highlight w:val="none"/>
          <w:u w:val="singl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申报日期：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  <w:u w:val="single"/>
        </w:rPr>
        <w:t xml:space="preserve">              </w:t>
      </w:r>
    </w:p>
    <w:p w14:paraId="0B1E90EA">
      <w:pPr>
        <w:spacing w:line="600" w:lineRule="exact"/>
        <w:ind w:firstLine="900" w:firstLineChars="300"/>
        <w:rPr>
          <w:rFonts w:hint="default"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737030E5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2E783353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3E978121">
      <w:pPr>
        <w:spacing w:line="240" w:lineRule="auto"/>
        <w:ind w:firstLine="0" w:firstLineChars="0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rFonts w:ascii="Times New Roman" w:hAnsi="Times New Roman" w:cs="Times New Roman"/>
          <w:color w:val="auto"/>
          <w:sz w:val="30"/>
          <w:szCs w:val="30"/>
          <w:highlight w:val="none"/>
        </w:rPr>
        <w:t xml:space="preserve"> </w:t>
      </w:r>
    </w:p>
    <w:p w14:paraId="1BA3E95B">
      <w:pPr>
        <w:spacing w:line="240" w:lineRule="auto"/>
        <w:ind w:firstLine="0" w:firstLineChars="0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t xml:space="preserve">     </w:t>
      </w:r>
    </w:p>
    <w:p w14:paraId="0789FBAF">
      <w:pPr>
        <w:widowControl/>
        <w:spacing w:line="360" w:lineRule="auto"/>
        <w:ind w:firstLine="880" w:firstLineChars="0"/>
        <w:jc w:val="center"/>
        <w:rPr>
          <w:rFonts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ascii="Times New Roman" w:hAnsi="Times New Roman" w:eastAsia="黑体" w:cs="Times New Roman"/>
          <w:color w:val="auto"/>
          <w:szCs w:val="32"/>
          <w:highlight w:val="none"/>
        </w:rPr>
        <w:br w:type="page"/>
      </w:r>
    </w:p>
    <w:p w14:paraId="048E9B1F">
      <w:pPr>
        <w:widowControl/>
        <w:spacing w:line="360" w:lineRule="auto"/>
        <w:ind w:firstLine="88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</w:rPr>
        <w:t>企业资料真实性声明</w:t>
      </w:r>
    </w:p>
    <w:p w14:paraId="5CAA493E">
      <w:pPr>
        <w:widowControl/>
        <w:spacing w:line="360" w:lineRule="auto"/>
        <w:ind w:firstLine="560" w:firstLineChars="0"/>
        <w:jc w:val="center"/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</w:rPr>
        <w:t xml:space="preserve"> </w:t>
      </w:r>
    </w:p>
    <w:p w14:paraId="4A2C5950">
      <w:pPr>
        <w:spacing w:line="560" w:lineRule="exact"/>
        <w:ind w:firstLine="641" w:firstLineChars="0"/>
        <w:rPr>
          <w:rFonts w:hint="default" w:ascii="Times New Roman" w:hAnsi="Times New Roman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本企业自愿通过“浙企智造在线”应用提供浙江省未来工厂评定所需相关材料和数据，保证其真实、有效，并愿为复核、抽查工作提供必要的条件。</w:t>
      </w:r>
    </w:p>
    <w:p w14:paraId="60FBCC56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4FBA7D4E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45FF43B9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7735AFC9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10CDD464">
      <w:pPr>
        <w:widowControl/>
        <w:spacing w:line="360" w:lineRule="auto"/>
        <w:ind w:firstLine="56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060F96A8">
      <w:pPr>
        <w:widowControl/>
        <w:spacing w:line="720" w:lineRule="auto"/>
        <w:ind w:firstLine="0" w:firstLineChars="0"/>
        <w:jc w:val="righ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highlight w:val="none"/>
        </w:rPr>
        <w:t>法定代表人或其委托代理人（签名/签章）：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         </w:t>
      </w:r>
    </w:p>
    <w:p w14:paraId="062CD1DF">
      <w:pPr>
        <w:widowControl/>
        <w:spacing w:line="720" w:lineRule="auto"/>
        <w:ind w:firstLine="0" w:firstLineChars="0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企业（盖章）：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</w:t>
      </w:r>
    </w:p>
    <w:p w14:paraId="252ECF97">
      <w:pPr>
        <w:spacing w:line="240" w:lineRule="auto"/>
        <w:ind w:firstLine="640" w:firstLineChars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color w:val="auto"/>
          <w:highlight w:val="none"/>
        </w:rPr>
        <w:t>年    月    日</w:t>
      </w:r>
    </w:p>
    <w:p w14:paraId="16E55C32">
      <w:pPr>
        <w:spacing w:line="240" w:lineRule="auto"/>
        <w:ind w:firstLine="640" w:firstLineChars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 xml:space="preserve"> </w:t>
      </w:r>
    </w:p>
    <w:p w14:paraId="25223AF2">
      <w:pPr>
        <w:spacing w:line="240" w:lineRule="auto"/>
        <w:ind w:firstLine="0" w:firstLineChars="0"/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微软雅黑" w:cs="Times New Roman"/>
          <w:color w:val="auto"/>
          <w:sz w:val="44"/>
          <w:szCs w:val="44"/>
          <w:highlight w:val="none"/>
        </w:rPr>
        <w:t xml:space="preserve"> </w:t>
      </w:r>
    </w:p>
    <w:p w14:paraId="5AE96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lef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br w:type="page"/>
      </w:r>
      <w:r>
        <w:rPr>
          <w:rFonts w:hint="default" w:ascii="Times New Roman" w:hAnsi="Times New Roman" w:eastAsia="黑体" w:cs="Times New Roman"/>
          <w:color w:val="auto"/>
          <w:highlight w:val="none"/>
        </w:rPr>
        <w:t>一、项目基本情况</w:t>
      </w:r>
    </w:p>
    <w:p w14:paraId="5F4AA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（一）项目概述</w:t>
      </w:r>
    </w:p>
    <w:p w14:paraId="749AC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right="128" w:rightChars="40"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描述企业概况，行业及区位优势，主要产品市场前景分析，推进未来工厂建设的组织架构</w:t>
      </w:r>
      <w:r>
        <w:rPr>
          <w:rFonts w:hint="eastAsia" w:ascii="Times New Roman" w:hAnsi="Times New Roman" w:cs="Times New Roman"/>
          <w:color w:val="auto"/>
          <w:highlight w:val="none"/>
        </w:rPr>
        <w:t>；</w:t>
      </w:r>
      <w:r>
        <w:rPr>
          <w:rFonts w:hint="default" w:ascii="Times New Roman" w:hAnsi="Times New Roman" w:cs="Times New Roman"/>
          <w:color w:val="auto"/>
          <w:highlight w:val="none"/>
        </w:rPr>
        <w:t>对照选定未来工厂的创建类型，概述未来工厂建设的创新点、特色亮点和建设成效（应有具体量化指标）等内容。</w:t>
      </w:r>
    </w:p>
    <w:p w14:paraId="2B6C3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（二）项目实施的先进性</w:t>
      </w:r>
    </w:p>
    <w:p w14:paraId="224AD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right="128" w:rightChars="40"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cs="Times New Roman"/>
          <w:color w:val="auto"/>
          <w:highlight w:val="none"/>
        </w:rPr>
        <w:t>1.</w:t>
      </w:r>
      <w:r>
        <w:rPr>
          <w:rFonts w:hint="default" w:ascii="Times New Roman" w:hAnsi="Times New Roman" w:cs="Times New Roman"/>
          <w:color w:val="auto"/>
          <w:highlight w:val="none"/>
        </w:rPr>
        <w:t>与实施前的效果比较</w:t>
      </w:r>
      <w:r>
        <w:rPr>
          <w:rFonts w:hint="default" w:cs="Times New Roman"/>
          <w:color w:val="auto"/>
          <w:highlight w:val="none"/>
        </w:rPr>
        <w:t>；2.</w:t>
      </w:r>
      <w:r>
        <w:rPr>
          <w:rFonts w:hint="default" w:ascii="Times New Roman" w:hAnsi="Times New Roman" w:cs="Times New Roman"/>
          <w:color w:val="auto"/>
          <w:highlight w:val="none"/>
        </w:rPr>
        <w:t>与国内外先进水平的比较</w:t>
      </w:r>
      <w:r>
        <w:rPr>
          <w:rFonts w:hint="default" w:cs="Times New Roman"/>
          <w:color w:val="auto"/>
          <w:highlight w:val="none"/>
        </w:rPr>
        <w:t>；3.</w:t>
      </w:r>
      <w:r>
        <w:rPr>
          <w:rFonts w:hint="default" w:ascii="Times New Roman" w:hAnsi="Times New Roman" w:cs="Times New Roman"/>
          <w:color w:val="auto"/>
          <w:highlight w:val="none"/>
        </w:rPr>
        <w:t>结合创建类型特征，一是从企业核心技术、生产工艺、智能装备和工业软件等核心能力</w:t>
      </w:r>
      <w:r>
        <w:rPr>
          <w:rFonts w:hint="default" w:cs="Times New Roman"/>
          <w:color w:val="auto"/>
          <w:highlight w:val="none"/>
        </w:rPr>
        <w:t>方面</w:t>
      </w:r>
      <w:r>
        <w:rPr>
          <w:rFonts w:hint="default" w:ascii="Times New Roman" w:hAnsi="Times New Roman" w:cs="Times New Roman"/>
          <w:color w:val="auto"/>
          <w:highlight w:val="none"/>
        </w:rPr>
        <w:t>，二是从自主创新引领、产业链协同共生、模型化凝练和行业示范带动、服务化延伸和新兴业态特征等模式方面</w:t>
      </w:r>
      <w:r>
        <w:rPr>
          <w:rFonts w:hint="default" w:cs="Times New Roman"/>
          <w:color w:val="auto"/>
          <w:highlight w:val="none"/>
        </w:rPr>
        <w:t>，</w:t>
      </w:r>
      <w:r>
        <w:rPr>
          <w:rFonts w:hint="default" w:ascii="Times New Roman" w:hAnsi="Times New Roman" w:cs="Times New Roman"/>
          <w:color w:val="auto"/>
          <w:highlight w:val="none"/>
        </w:rPr>
        <w:t>分别对工厂先进性进行描述。</w:t>
      </w:r>
    </w:p>
    <w:p w14:paraId="09E28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highlight w:val="none"/>
        </w:rPr>
        <w:t>（三）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技术突破和技术创新</w:t>
      </w:r>
    </w:p>
    <w:p w14:paraId="43BC8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建设过程中解决的行业关键技术难点及创新点，以及形成的行业领先核心能力。</w:t>
      </w:r>
    </w:p>
    <w:p w14:paraId="3F421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二、未来工厂建设内容</w:t>
      </w:r>
    </w:p>
    <w:p w14:paraId="5530D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（一）未来工厂整体建设概况</w:t>
      </w:r>
    </w:p>
    <w:p w14:paraId="33240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1.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企业生产工艺流程、装备产线</w:t>
      </w:r>
      <w:r>
        <w:rPr>
          <w:rFonts w:hint="eastAsia" w:ascii="Times New Roman" w:hAnsi="Times New Roman" w:cs="Times New Roman"/>
          <w:color w:val="auto"/>
          <w:highlight w:val="none"/>
        </w:rPr>
        <w:t>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厂区功能布局等的</w:t>
      </w:r>
      <w:r>
        <w:rPr>
          <w:rFonts w:hint="default" w:cs="Times New Roman"/>
          <w:color w:val="auto"/>
          <w:highlight w:val="none"/>
          <w:lang w:eastAsia="zh-CN"/>
        </w:rPr>
        <w:t>数字化呈现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1F323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2.企业智能化装备、产线、车间、工厂的</w:t>
      </w:r>
      <w:r>
        <w:rPr>
          <w:rFonts w:hint="default" w:cs="Times New Roman"/>
          <w:color w:val="auto"/>
          <w:highlight w:val="none"/>
          <w:lang w:eastAsia="zh-CN"/>
        </w:rPr>
        <w:t>数据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互联互通和</w:t>
      </w:r>
      <w:r>
        <w:rPr>
          <w:rFonts w:hint="default" w:cs="Times New Roman"/>
          <w:color w:val="auto"/>
          <w:highlight w:val="none"/>
          <w:lang w:eastAsia="zh-CN"/>
        </w:rPr>
        <w:t>信息化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管理</w:t>
      </w:r>
      <w:r>
        <w:rPr>
          <w:rFonts w:hint="default" w:cs="Times New Roman"/>
          <w:color w:val="auto"/>
          <w:highlight w:val="none"/>
          <w:lang w:eastAsia="zh-CN"/>
        </w:rPr>
        <w:t>系统应用概况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2A24C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color w:val="auto"/>
          <w:highlight w:val="none"/>
        </w:rPr>
        <w:t>.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企业智能制造系统架构，包括信息化系统整体架构，基于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32"/>
          <w:szCs w:val="24"/>
          <w:highlight w:val="none"/>
          <w:shd w:val="clear" w:color="auto" w:fill="auto"/>
          <w:lang w:val="en-US" w:eastAsia="zh-CN"/>
        </w:rPr>
        <w:t>企业采供、计划、生产、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物流和客户服务等核心环节的业务系统应用情况，系统集成与数据底座建设情况，应用工业互联网平台或企业大脑实现生产智能化、管理数字化的创新实践</w:t>
      </w:r>
      <w:r>
        <w:rPr>
          <w:rFonts w:hint="default" w:ascii="Times New Roman" w:hAnsi="Times New Roman" w:cs="Times New Roman"/>
          <w:color w:val="auto"/>
          <w:highlight w:val="none"/>
        </w:rPr>
        <w:t>。</w:t>
      </w:r>
    </w:p>
    <w:p w14:paraId="052C5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（二）未来工厂建设保障情况</w:t>
      </w:r>
    </w:p>
    <w:p w14:paraId="45E61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1.新一代信息技术与先进制造技术的应用情况。重点阐述在研发、生产、管理、供应链、服务等环节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应用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数字孪生、人工智能、大数据、物联网、边缘计算等新一代信息技术，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以及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数字化设计技术、先进工艺（加工）技术、智能装备技术等先进制造技术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的情况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35CEF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2.数字化生态建设情况。包括智能制造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人才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培养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、数字化服务商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长效合作、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行业（区域）工</w:t>
      </w:r>
      <w:r>
        <w:rPr>
          <w:rFonts w:hint="eastAsia" w:cs="Times New Roman"/>
          <w:color w:val="auto"/>
          <w:highlight w:val="none"/>
          <w:lang w:val="en-US" w:eastAsia="zh-CN"/>
        </w:rPr>
        <w:t>业互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联网平台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建设/应用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、产业大脑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建设/应用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等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0B99C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3.制度机制保障体系建设情况。包括相应的组织管理体系、技术标准体系、质量管理体系、安全防护体系等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建设情况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。</w:t>
      </w:r>
    </w:p>
    <w:p w14:paraId="1AFAE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（三）未来工厂主要场景建设情况</w:t>
      </w:r>
    </w:p>
    <w:p w14:paraId="6453E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场景内容按“十大场景+子场景+典型应用场景”进行</w:t>
      </w:r>
      <w:r>
        <w:rPr>
          <w:rFonts w:hint="eastAsia" w:ascii="Times New Roman" w:eastAsia="仿宋_GB2312"/>
          <w:color w:val="auto"/>
          <w:highlight w:val="none"/>
          <w:lang w:val="en-US" w:eastAsia="zh-CN"/>
        </w:rPr>
        <w:t>描述</w:t>
      </w:r>
      <w:r>
        <w:rPr>
          <w:rFonts w:hint="eastAsia"/>
          <w:color w:val="auto"/>
          <w:highlight w:val="none"/>
        </w:rPr>
        <w:t>。如“十场景”之数字化设计场景，应涵盖工厂规划设计、产品设计、工艺设计等子</w:t>
      </w:r>
      <w:r>
        <w:rPr>
          <w:rFonts w:hint="default"/>
          <w:color w:val="auto"/>
          <w:highlight w:val="none"/>
        </w:rPr>
        <w:t>场景</w:t>
      </w:r>
      <w:r>
        <w:rPr>
          <w:rFonts w:hint="eastAsia"/>
          <w:color w:val="auto"/>
          <w:highlight w:val="none"/>
        </w:rPr>
        <w:t>，并展示工厂数字化规划设计、数字基础设施建设、数字孪生工厂构建等典型应用场景。</w:t>
      </w:r>
    </w:p>
    <w:p w14:paraId="75620B6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0"/>
        <w:textAlignment w:val="auto"/>
        <w:rPr>
          <w:rFonts w:hint="eastAsia" w:cs="Times New Roman"/>
          <w:color w:val="auto"/>
          <w:highlight w:val="none"/>
          <w:lang w:val="en-US" w:eastAsia="zh-CN"/>
        </w:rPr>
      </w:pPr>
      <w:r>
        <w:rPr>
          <w:rFonts w:hint="eastAsia" w:ascii="Times New Roman" w:eastAsia="仿宋_GB2312"/>
          <w:color w:val="auto"/>
          <w:highlight w:val="none"/>
          <w:lang w:val="en-US" w:eastAsia="zh-CN"/>
        </w:rPr>
        <w:t>参考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《</w:t>
      </w:r>
      <w:r>
        <w:rPr>
          <w:rFonts w:hint="default" w:cs="Times New Roman"/>
          <w:color w:val="auto"/>
          <w:highlight w:val="none"/>
          <w:lang w:eastAsia="zh-CN"/>
        </w:rPr>
        <w:t>“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未来工厂</w:t>
      </w:r>
      <w:r>
        <w:rPr>
          <w:rFonts w:hint="default" w:cs="Times New Roman"/>
          <w:color w:val="auto"/>
          <w:highlight w:val="none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建设导则》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地方标准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和《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浙江省“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未来工厂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分级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建设要求</w:t>
      </w:r>
      <w:r>
        <w:rPr>
          <w:rFonts w:hint="eastAsia" w:cs="Times New Roman"/>
          <w:color w:val="auto"/>
          <w:highlight w:val="none"/>
          <w:lang w:val="en-US" w:eastAsia="zh-CN"/>
        </w:rPr>
        <w:t>（试行）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》</w:t>
      </w:r>
      <w:r>
        <w:rPr>
          <w:rFonts w:hint="eastAsia" w:cs="Times New Roman"/>
          <w:color w:val="auto"/>
          <w:highlight w:val="none"/>
          <w:lang w:val="en-US" w:eastAsia="zh-CN"/>
        </w:rPr>
        <w:t>，根据企业建设实际，描述“十场景”建设内容，其中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数字化设计、智能化生产、精益化管理、绿色化制造、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智慧供应链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、模型化发展</w:t>
      </w:r>
      <w:r>
        <w:rPr>
          <w:rFonts w:hint="eastAsia" w:cs="Times New Roman"/>
          <w:color w:val="auto"/>
          <w:highlight w:val="none"/>
          <w:lang w:val="en-US" w:eastAsia="zh-CN"/>
        </w:rPr>
        <w:t>为必选场景，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个性化定制、网络化协同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高端化产品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、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服务化延伸</w:t>
      </w:r>
      <w:r>
        <w:rPr>
          <w:rFonts w:hint="eastAsia" w:cs="Times New Roman"/>
          <w:color w:val="auto"/>
          <w:highlight w:val="none"/>
          <w:lang w:val="en-US" w:eastAsia="zh-CN"/>
        </w:rPr>
        <w:t>等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场景</w:t>
      </w:r>
      <w:r>
        <w:rPr>
          <w:rFonts w:hint="eastAsia" w:cs="Times New Roman"/>
          <w:color w:val="auto"/>
          <w:highlight w:val="none"/>
          <w:lang w:val="en-US" w:eastAsia="zh-CN"/>
        </w:rPr>
        <w:t>根据各自类型进行相关描述（至少选择2个）。</w:t>
      </w:r>
    </w:p>
    <w:p w14:paraId="7B3342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0"/>
        <w:textAlignment w:val="auto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Times New Roman" w:eastAsia="仿宋_GB2312"/>
          <w:color w:val="auto"/>
          <w:highlight w:val="none"/>
          <w:lang w:val="en-US" w:eastAsia="zh-CN"/>
        </w:rPr>
        <w:t>参考《智能制造典型场景参考指引（2025年版）》，根据《基本信息表》中所勾选的典型应用场景建设情况，在下表中进行细化描述。</w:t>
      </w:r>
    </w:p>
    <w:p w14:paraId="133A3E78">
      <w:pPr>
        <w:keepNext w:val="0"/>
        <w:keepLines w:val="0"/>
        <w:widowControl w:val="0"/>
        <w:suppressLineNumbers w:val="0"/>
        <w:spacing w:before="0" w:beforeAutospacing="0" w:after="156" w:afterLines="50" w:afterAutospacing="0" w:line="560" w:lineRule="exact"/>
        <w:ind w:left="0" w:right="0" w:firstLine="720" w:firstLineChars="200"/>
        <w:jc w:val="center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黑体" w:cs="黑体"/>
          <w:bCs/>
          <w:color w:val="auto"/>
          <w:kern w:val="2"/>
          <w:sz w:val="36"/>
          <w:szCs w:val="36"/>
          <w:highlight w:val="none"/>
          <w:lang w:val="en-US" w:eastAsia="zh-CN" w:bidi="ar"/>
        </w:rPr>
        <w:t>每个场景实例描述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1"/>
        <w:gridCol w:w="1886"/>
        <w:gridCol w:w="1886"/>
        <w:gridCol w:w="1888"/>
      </w:tblGrid>
      <w:tr w14:paraId="62D5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93309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十场景名称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F4FE4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如数字化设计</w:t>
            </w:r>
          </w:p>
        </w:tc>
      </w:tr>
      <w:tr w14:paraId="14218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B6F16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子场景名称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DAB6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产品设计</w:t>
            </w:r>
          </w:p>
        </w:tc>
      </w:tr>
      <w:tr w14:paraId="5E18F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24B2E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典型应用场景名称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B238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如产品数字化设计</w:t>
            </w:r>
          </w:p>
        </w:tc>
      </w:tr>
      <w:tr w14:paraId="473D7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8B6B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B7B1F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如基于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AI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大模型的某产品智能研发提效</w:t>
            </w:r>
          </w:p>
        </w:tc>
      </w:tr>
      <w:tr w14:paraId="4AA7B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1E68A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场景解决方案供应商名称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C89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57DC4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C02E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是否成效突出且具备推广价值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4C13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□ 是 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10554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1C62B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联系人及联系方式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4E75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5612F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2ECCB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场景建设起止日期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785B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74AF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64DBD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场景建设总投资（万元）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F60B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……</w:t>
            </w:r>
          </w:p>
        </w:tc>
      </w:tr>
      <w:tr w14:paraId="2467B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0EAF2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是否应用人工智能技术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21ED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是（如勾选此项，请描述人工智能技术应用情况，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  <w:p w14:paraId="43CBD35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□ 否</w:t>
            </w:r>
          </w:p>
        </w:tc>
      </w:tr>
      <w:tr w14:paraId="34360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DFE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场景实例描述（结合要素条件进行描述，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B71F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针对发动机壳体加工，搭建多台五轴机床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+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多台机器人组成柔性加工单元。</w:t>
            </w:r>
          </w:p>
        </w:tc>
      </w:tr>
      <w:tr w14:paraId="5A751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E808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解决的痛点问题描述（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300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5FCA3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i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解决复杂壳体加工效率低、质量不高等突出问题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4AFFB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AC4B4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采用的技术方案（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字以内，可配图）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C5F51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公司进行改造实施。</w:t>
            </w:r>
          </w:p>
        </w:tc>
      </w:tr>
      <w:tr w14:paraId="445B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D3E87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实施成效（包括经济效益、场景推广情况等，最好通过量化指标描述，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500</w:t>
            </w:r>
            <w:r>
              <w:rPr>
                <w:rFonts w:hint="default" w:ascii="Times New Roman" w:hAnsi="Times New Roman" w:eastAsia="仿宋_GB2312" w:cs="仿宋_GB2312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字以内）</w:t>
            </w:r>
          </w:p>
        </w:tc>
        <w:tc>
          <w:tcPr>
            <w:tcW w:w="5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22360">
            <w:pPr>
              <w:keepNext w:val="0"/>
              <w:keepLines w:val="0"/>
              <w:widowControl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建设完成后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，目前操作人员已从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人减少至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人，加工效率提升了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，产品不良品率降低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XX%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仿宋_GB2312" w:cs="仿宋_GB2312"/>
                <w:i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该场景总计花费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万元，但每年为公司节省超过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万</w:t>
            </w:r>
            <w:r>
              <w:rPr>
                <w:rFonts w:hint="default" w:ascii="Times New Roman" w:cs="仿宋_GB2312"/>
                <w:color w:val="auto"/>
                <w:kern w:val="2"/>
                <w:sz w:val="24"/>
                <w:szCs w:val="24"/>
                <w:highlight w:val="none"/>
                <w:lang w:eastAsia="zh-CN" w:bidi="ar"/>
              </w:rPr>
              <w:t>元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，目前已向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XX</w:t>
            </w:r>
            <w:r>
              <w:rPr>
                <w:rFonts w:hint="default" w:ascii="Times New Roman" w:hAnsi="Times New Roman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家企业推广。</w:t>
            </w:r>
          </w:p>
        </w:tc>
      </w:tr>
      <w:tr w14:paraId="0F1F1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4B38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场景实例采用的关键装备、软件、工艺、技术情况</w:t>
            </w:r>
          </w:p>
        </w:tc>
      </w:tr>
      <w:tr w14:paraId="25BF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3E39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关键装备种类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5A0B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6C7A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36B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69E40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977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（在系统中选择高档数控机床、工业机器人、增材制造装备、智能传感与控制装备、智能检测与装配装备、智能物流与仓储装备、行业成套装备，可填写多个）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9B56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B776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54524">
            <w:pPr>
              <w:pStyle w:val="2"/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100" w:beforeAutospacing="1" w:after="12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06A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B796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关键软件种类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E69F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名称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695A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规格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型号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C51B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供应商</w:t>
            </w:r>
          </w:p>
        </w:tc>
      </w:tr>
      <w:tr w14:paraId="36CB4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3922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2FF8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DBA1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2951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</w:tbl>
    <w:p w14:paraId="13CA9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left="0" w:leftChars="0" w:firstLine="0" w:firstLineChars="0"/>
        <w:textAlignment w:val="auto"/>
        <w:rPr>
          <w:rFonts w:hint="eastAsia"/>
          <w:color w:val="auto"/>
          <w:highlight w:val="none"/>
          <w:lang w:val="en-US" w:eastAsia="zh-CN"/>
        </w:rPr>
      </w:pPr>
    </w:p>
    <w:p w14:paraId="5A227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highlight w:val="none"/>
        </w:rPr>
        <w:t>三、未来工厂建设成效</w:t>
      </w:r>
    </w:p>
    <w:p w14:paraId="582D1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（一）综合效益与价值提升</w:t>
      </w:r>
    </w:p>
    <w:p w14:paraId="2B361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描述企业在研发创新、生产制造、经营管理、节能降碳等方面取得的成效，包括经济效益、三降低两提高（降低运营成本、产品</w:t>
      </w:r>
      <w:r>
        <w:rPr>
          <w:rFonts w:hint="default" w:cs="Times New Roman"/>
          <w:color w:val="auto"/>
          <w:highlight w:val="none"/>
          <w:lang w:eastAsia="zh-CN"/>
        </w:rPr>
        <w:t>不良品率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和产品</w:t>
      </w:r>
      <w:r>
        <w:rPr>
          <w:rFonts w:hint="default" w:cs="Times New Roman"/>
          <w:color w:val="auto"/>
          <w:highlight w:val="none"/>
          <w:lang w:eastAsia="zh-CN"/>
        </w:rPr>
        <w:t>研制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周期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提高生产效率和</w:t>
      </w:r>
      <w:r>
        <w:rPr>
          <w:rFonts w:hint="default" w:cs="Times New Roman"/>
          <w:color w:val="auto"/>
          <w:highlight w:val="none"/>
          <w:lang w:eastAsia="zh-CN"/>
        </w:rPr>
        <w:t>能源利用率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）及其他企业特色量化指标等。</w:t>
      </w:r>
    </w:p>
    <w:p w14:paraId="4C317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trike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（二）产业协同（业态）创新</w:t>
      </w:r>
    </w:p>
    <w:p w14:paraId="00180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包括但不限于：</w:t>
      </w:r>
    </w:p>
    <w:p w14:paraId="1308D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1.通过自主研发或联合研发，实现工艺装备、工业软件等关键共性技术方面的重大突破；</w:t>
      </w:r>
    </w:p>
    <w:p w14:paraId="4BA41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2.联合上下游企业及服务商研发改进形成新技术、新装备，</w:t>
      </w:r>
      <w:r>
        <w:rPr>
          <w:rFonts w:hint="eastAsia" w:cs="Times New Roman"/>
          <w:color w:val="auto"/>
          <w:highlight w:val="none"/>
          <w:lang w:eastAsia="zh-CN"/>
        </w:rPr>
        <w:t>或</w:t>
      </w:r>
      <w:r>
        <w:rPr>
          <w:rFonts w:hint="default" w:ascii="Times New Roman" w:hAnsi="Times New Roman" w:cs="Times New Roman"/>
          <w:color w:val="auto"/>
          <w:highlight w:val="none"/>
        </w:rPr>
        <w:t>形成行业可推广应用的解决方案或数字化产品；</w:t>
      </w:r>
    </w:p>
    <w:p w14:paraId="77873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3.带动产业链上下游企业或行业企业智能制造提升的情况，或提供智能制造专业服务、延伸服务等情况。</w:t>
      </w:r>
    </w:p>
    <w:p w14:paraId="30712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trike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（三）企业形态变革与创新</w:t>
      </w:r>
    </w:p>
    <w:p w14:paraId="61275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项目实施后，企业在数字化发展战略、生产方式、组织结构方面的变革，以及研发模式、管理模式、服务模式、商业模式等方面的创新改变。</w:t>
      </w:r>
    </w:p>
    <w:p w14:paraId="73027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、未来工厂</w:t>
      </w:r>
      <w:r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  <w:t>“四型”相关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能力</w:t>
      </w:r>
    </w:p>
    <w:p w14:paraId="31754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根据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《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浙江省“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未来工厂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”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分级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建设要求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，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按照所选定的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申报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类型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，描述相关能力。</w:t>
      </w:r>
    </w:p>
    <w:p w14:paraId="41C34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“领航型”未来工厂：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主要包括企业的行业地位，核心产品营收或产值规模</w:t>
      </w:r>
      <w:r>
        <w:rPr>
          <w:rFonts w:hint="eastAsia" w:cs="Times New Roman"/>
          <w:color w:val="auto"/>
          <w:highlight w:val="none"/>
          <w:lang w:eastAsia="zh-CN"/>
        </w:rPr>
        <w:t>以及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行业排名等</w:t>
      </w:r>
      <w:r>
        <w:rPr>
          <w:rFonts w:hint="eastAsia" w:cs="Times New Roman"/>
          <w:color w:val="auto"/>
          <w:highlight w:val="none"/>
          <w:lang w:eastAsia="zh-CN"/>
        </w:rPr>
        <w:t>；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企业的创新能力，包括创新载体建设、研发投入以及创新成效等，在工艺装备、工业软件等关键共性技术方面的重大突破等；新技术应用情况，如应用人工智能、具身智能等新技术在设计、生产、质量等核心业务环节打造全自主可控的应用场景等。</w:t>
      </w:r>
    </w:p>
    <w:p w14:paraId="2628D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“头雁型”未来工厂：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主要包括企业所在</w:t>
      </w:r>
      <w:r>
        <w:rPr>
          <w:rFonts w:hint="default" w:cs="Times New Roman"/>
          <w:color w:val="auto"/>
          <w:highlight w:val="none"/>
          <w:lang w:eastAsia="zh-CN"/>
        </w:rPr>
        <w:t>区域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产业集群情况，以及企业的行业地位及在集群内的地位；企业的示范引领作用，形成可复制推广的技术、装备和工业软件等，或形成行业领先的组织</w:t>
      </w:r>
      <w:r>
        <w:rPr>
          <w:rFonts w:hint="eastAsia" w:cs="Times New Roman"/>
          <w:color w:val="auto"/>
          <w:highlight w:val="none"/>
          <w:lang w:eastAsia="zh-CN"/>
        </w:rPr>
        <w:t>形态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、管理模式、创新体系，并对外赋能，提升同行业企业综合能力情况；新技术应用情况，如打造行业垂直大模型或智能体，带动集群竞争力整体提升等。</w:t>
      </w:r>
    </w:p>
    <w:p w14:paraId="3B196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“链主型”未来工厂</w:t>
      </w:r>
      <w:r>
        <w:rPr>
          <w:rFonts w:hint="default" w:ascii="Times New Roman" w:hAnsi="Times New Roman" w:cs="Times New Roman"/>
          <w:color w:val="auto"/>
          <w:highlight w:val="none"/>
        </w:rPr>
        <w:t>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主要包括企业在</w:t>
      </w:r>
      <w:r>
        <w:rPr>
          <w:rFonts w:hint="default" w:ascii="Times New Roman" w:hAnsi="Times New Roman" w:cs="Times New Roman"/>
          <w:color w:val="auto"/>
          <w:highlight w:val="none"/>
        </w:rPr>
        <w:t>产业链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或产业链</w:t>
      </w:r>
      <w:r>
        <w:rPr>
          <w:rFonts w:hint="default" w:ascii="Times New Roman" w:hAnsi="Times New Roman" w:cs="Times New Roman"/>
          <w:color w:val="auto"/>
          <w:highlight w:val="none"/>
        </w:rPr>
        <w:t>关键环节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的地位；企业的协同带动能力，如通过平台化服务能力集聚上下游企业，通过技术输出和标准制定强化供应链/产业链上下游企业生态粘性，通过资源整合与优化提升供应链响应速度和交付能力等，通过供应链服务为上下游企业提供协同设计、协同制造、检验检测、集采代采、物流、金融等服务等；新技术应用情况，如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应用人工智能、区块链等新技术，开展产业链风险分析和安全预警等。</w:t>
      </w:r>
    </w:p>
    <w:p w14:paraId="64383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3" w:firstLineChars="200"/>
        <w:jc w:val="both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highlight w:val="none"/>
        </w:rPr>
        <w:t>“平台型”未来工厂</w:t>
      </w:r>
      <w:r>
        <w:rPr>
          <w:rFonts w:hint="default" w:ascii="Times New Roman" w:hAnsi="Times New Roman" w:cs="Times New Roman"/>
          <w:color w:val="auto"/>
          <w:highlight w:val="none"/>
        </w:rPr>
        <w:t>：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主要包括企业的新兴业态特征；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企业的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业态协同与变革能力，如通过产业互联网平台汇聚生产、设计、服务等资源，通过平台整合用户设备、产能、物流等分布式制造资源，通过平台为用户提供制造、技术、解决方案、金融、管理模式等增值服务；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新技术应用情况，如应用人工智能、大数据、量子计算等新技术构建工贸一体化模式，打造两化融合和两业融合的典型场景。</w:t>
      </w:r>
    </w:p>
    <w:p w14:paraId="018A5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highlight w:val="none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、未来工厂数字化</w:t>
      </w:r>
      <w:r>
        <w:rPr>
          <w:rFonts w:hint="eastAsia" w:ascii="Times New Roman" w:hAnsi="Times New Roman" w:eastAsia="黑体" w:cs="Times New Roman"/>
          <w:color w:val="auto"/>
          <w:highlight w:val="none"/>
          <w:lang w:val="en-US" w:eastAsia="zh-CN"/>
        </w:rPr>
        <w:t>赋能</w:t>
      </w:r>
      <w:r>
        <w:rPr>
          <w:rFonts w:hint="default" w:ascii="Times New Roman" w:hAnsi="Times New Roman" w:eastAsia="黑体" w:cs="Times New Roman"/>
          <w:color w:val="auto"/>
          <w:highlight w:val="none"/>
        </w:rPr>
        <w:t>能力</w:t>
      </w:r>
    </w:p>
    <w:p w14:paraId="55114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eastAsia" w:ascii="Times New Roman" w:hAnsi="Times New Roman" w:eastAsia="楷体_GB2312" w:cs="Times New Roman"/>
          <w:color w:val="auto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color w:val="auto"/>
          <w:highlight w:val="none"/>
        </w:rPr>
        <w:t>一</w:t>
      </w:r>
      <w:r>
        <w:rPr>
          <w:rFonts w:hint="eastAsia" w:ascii="Times New Roman" w:hAnsi="Times New Roman" w:eastAsia="楷体_GB2312" w:cs="Times New Roman"/>
          <w:color w:val="auto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color w:val="auto"/>
          <w:highlight w:val="none"/>
        </w:rPr>
        <w:t>输出产品与服务</w:t>
      </w:r>
    </w:p>
    <w:p w14:paraId="617CC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描述项目建设中形成的系统解决方案和可复用的工业软件、组件模型等</w:t>
      </w:r>
      <w:r>
        <w:rPr>
          <w:rFonts w:hint="eastAsia" w:ascii="Times New Roman" w:hAnsi="Times New Roman" w:cs="Times New Roman"/>
          <w:color w:val="auto"/>
          <w:highlight w:val="none"/>
        </w:rPr>
        <w:t>，</w:t>
      </w:r>
      <w:r>
        <w:rPr>
          <w:rFonts w:hint="default" w:ascii="Times New Roman" w:hAnsi="Times New Roman" w:cs="Times New Roman"/>
          <w:color w:val="auto"/>
          <w:highlight w:val="none"/>
        </w:rPr>
        <w:t>包括主要功能、技术路线、关键指标及输出方式等相关内容。如有已实际输出的可进一步说明输出情况。</w:t>
      </w:r>
    </w:p>
    <w:p w14:paraId="2B244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before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highlight w:val="none"/>
        </w:rPr>
        <w:t>（二）典型应用场景</w:t>
      </w:r>
    </w:p>
    <w:p w14:paraId="7D7DF84F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</w:pPr>
      <w:r>
        <w:rPr>
          <w:rFonts w:hint="default" w:ascii="Times New Roman" w:hAnsi="Times New Roman" w:cs="Times New Roman"/>
          <w:color w:val="auto"/>
          <w:highlight w:val="none"/>
        </w:rPr>
        <w:t>梳理项目建设形成的可供学习借鉴的典型应用场景，包括但不限于数字化设计、智能化生产、绿色化制造、精益化管理、智慧供应链、高端化产品、个性化定制、网络化协同、服务化延伸、模型化发展等典型应用场景。</w:t>
      </w:r>
    </w:p>
    <w:p w14:paraId="20B97C9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C57B7C-8441-4B5A-A8FF-7F77CAF6FD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A2C121A-62E5-4870-BD1E-B2AB77918AFA}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A4ECCBF-85AC-44D7-A917-65C4529CA99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54CA51E-0193-4090-83CB-7DDBB255502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CC8DED27-ABCC-44F9-AED4-86ECDFA8242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9A054B99-E1CE-412C-9DB3-2AA2F37C9E9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FCCDCB"/>
    <w:multiLevelType w:val="singleLevel"/>
    <w:tmpl w:val="D1FCCDCB"/>
    <w:lvl w:ilvl="0" w:tentative="0">
      <w:start w:val="1"/>
      <w:numFmt w:val="decimal"/>
      <w:suff w:val="nothing"/>
      <w:lvlText w:val="%1."/>
      <w:lvlJc w:val="left"/>
      <w:pPr>
        <w:ind w:left="0" w:firstLine="6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A70682"/>
    <w:rsid w:val="632A3879"/>
    <w:rsid w:val="694055BA"/>
    <w:rsid w:val="F9A706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 w:line="560" w:lineRule="exact"/>
      <w:ind w:left="0" w:right="0" w:firstLine="720" w:firstLineChars="200"/>
      <w:jc w:val="left"/>
    </w:pPr>
    <w:rPr>
      <w:rFonts w:ascii="Times New Roman" w:hAnsi="Times New Roman" w:eastAsia="仿宋_GB2312" w:cs="Times New Roman"/>
      <w:kern w:val="0"/>
      <w:sz w:val="24"/>
      <w:szCs w:val="24"/>
      <w:lang w:val="en-US" w:eastAsia="zh-CN" w:bidi="ar"/>
    </w:rPr>
  </w:style>
  <w:style w:type="paragraph" w:customStyle="1" w:styleId="5">
    <w:name w:val="0"/>
    <w:qFormat/>
    <w:uiPriority w:val="0"/>
    <w:pPr>
      <w:widowControl/>
      <w:snapToGrid w:val="0"/>
    </w:pPr>
    <w:rPr>
      <w:rFonts w:ascii="Times New Roman" w:hAnsi="Times New Roman" w:eastAsia="仿宋_GB2312" w:cs="Times New Roman"/>
      <w:kern w:val="0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3144</Words>
  <Characters>3190</Characters>
  <Lines>0</Lines>
  <Paragraphs>0</Paragraphs>
  <TotalTime>0</TotalTime>
  <ScaleCrop>false</ScaleCrop>
  <LinksUpToDate>false</LinksUpToDate>
  <CharactersWithSpaces>3511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2026-08-26T11:08:00Z</dcterms:created>
  <dc:creator>王浩</dc:creator>
  <cp:lastModifiedBy>李统英</cp:lastModifiedBy>
  <dcterms:modified xsi:type="dcterms:W3CDTF">2026-08-31T13:52:06Z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A554E9C83983421F8B8EC3058402A25C_13</vt:lpwstr>
  </property>
</Properties>
</file>